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eddd9cc5fd2fcbf1474e3346f4f5042d95f01a9"/>
    <w:p>
      <w:pPr>
        <w:pStyle w:val="Heading3"/>
      </w:pPr>
      <w:r>
        <w:t xml:space="preserve">Законодательные новшества в учетно-регистрационных действиях: комментарии столичных экспертов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d_2000696618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ekrasovka.mos.ru/www/d_2000696618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493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ekrasovka.mos.ru/www/d_2000696618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http://nekrasovka.mos.ru/will-rosiest/news/detail/10807448.html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will-rosiest/news/detail/1080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nekrasovka.mos.ru" TargetMode="External" /><Relationship Type="http://schemas.openxmlformats.org/officeDocument/2006/relationships/hyperlink" Id="rId29" Target="http://nekrasovka.mos.ru/will-rosiest/news/detail/1080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2024-09-18T06:15:39Z</dcterms:created>
  <dcterms:modified xsi:type="dcterms:W3CDTF">2024-09-18T06:15:39Z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