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82694a26e1d5a2b745d61fd60d8d1956645c"/>
    <w:p>
      <w:pPr>
        <w:pStyle w:val="Heading3"/>
      </w:pPr>
      <w:r>
        <w:t xml:space="preserve">Фонарь на Рождественской починили ответственные службы</w:t>
      </w:r>
    </w:p>
    <w:p>
      <w:pPr>
        <w:pStyle w:val="FirstParagraph"/>
      </w:pPr>
      <w:r>
        <w:t xml:space="preserve">21.07.2020</w:t>
      </w:r>
    </w:p>
    <w:p>
      <w:pPr>
        <w:pStyle w:val="BodyText"/>
      </w:pPr>
      <w:r>
        <w:t xml:space="preserve">На Рождественской улице, 31 отремонтировали фонарь. Внимание властей на проблему обратил житель района, разместивший жалобу на портале «Наш город». О выполненных работах отчитался и. о. директора ГУП «Моссвет» Алексей Чиненков.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обеспечено выполнение работ по ремонту цоколя», – говорится в официальном ответе,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Сервис «Наш город» создан для эффективного взаимодействия населения и органов исполнительной власти. С 2011 года с помощью портала было решено свыше четырех миллионов проблем.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http://nekrasovka.mos.ru/presscenter/news/detail/9040590.html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40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9040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2025-01-12T08:02:27Z</dcterms:created>
  <dcterms:modified xsi:type="dcterms:W3CDTF">2025-01-12T08:02:27Z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