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b2ac032ca75896d9a033296cffb0ae5139b7c"/>
    <w:p>
      <w:pPr>
        <w:pStyle w:val="Heading3"/>
      </w:pPr>
      <w:r>
        <w:t xml:space="preserve">Подведены итоги голосования по единым стандартам работы частных маршруток</w:t>
      </w:r>
    </w:p>
    <w:p>
      <w:pPr>
        <w:pStyle w:val="FirstParagraph"/>
      </w:pPr>
      <w:r>
        <w:t xml:space="preserve">08.10.2014</w:t>
      </w:r>
    </w:p>
    <w:p>
      <w:pPr>
        <w:pStyle w:val="BodyText"/>
      </w:pPr>
      <w:r>
        <w:t xml:space="preserve">В проекте  «Активный гражданин» подведены итоги голосования по единым стандартам работы городского наземного пассажирского транспорта. </w:t>
      </w:r>
    </w:p>
    <w:p>
      <w:pPr>
        <w:pStyle w:val="BodyText"/>
      </w:pPr>
      <w:r>
        <w:t xml:space="preserve">С 2015 года частные перевозчики смогут работать в Москве только при соответствии определенным требованиям к оплате проезда, обслуживанию и планированию маршрутов.</w:t>
      </w:r>
    </w:p>
    <w:p>
      <w:pPr>
        <w:pStyle w:val="BodyText"/>
      </w:pPr>
      <w:r>
        <w:t xml:space="preserve"> Москва в 2015 году проведет реформу наземного городского транспорта. В рамках нее будет внедрена новая модель управления транспортом, предусматривающая заказ работы частных перевозчиков по государственным контрактам.</w:t>
      </w:r>
    </w:p>
    <w:p>
      <w:pPr>
        <w:pStyle w:val="BodyText"/>
      </w:pPr>
      <w:r>
        <w:t xml:space="preserve"> Особенности новой модели и четкие требования к частным перевозчикам будут определены Постановлением правительства Москвы. Проект документа сейчас разрабатывается Департаментом транспорта и транспортной инфраструктуры. </w:t>
      </w:r>
    </w:p>
    <w:p>
      <w:pPr>
        <w:pStyle w:val="BodyText"/>
      </w:pPr>
      <w:r>
        <w:t xml:space="preserve">Чтобы выяснить отношение москвичей к готовящимся нововведениям Департаментом было принято решение запустить голосование по данному вопросу в проекте «Активный гражданин». Оно проходило с 24 сентября по 6 октября. </w:t>
      </w:r>
    </w:p>
    <w:p>
      <w:pPr>
        <w:pStyle w:val="BodyText"/>
      </w:pPr>
      <w:r>
        <w:t xml:space="preserve">Итоги электронного референдума показали, что горожане хотят сохранить некоторые особенности действующих маршруток: маршруты движения (26,3%), возможность оплаты проезда в салоне (22,6%) и использование автобусов малой вместимости (20,2%), при этом выступают за то, чтобы маршрутки ходили более предсказуемо – 17,1% высказались за то, чтобы зафиксировать и уменьшить интервалы их движения. </w:t>
      </w:r>
    </w:p>
    <w:p>
      <w:pPr>
        <w:pStyle w:val="BodyText"/>
      </w:pPr>
      <w:r>
        <w:t xml:space="preserve">Из требований к автобусам «Мосгортранса», которые предлагается распространить и на частный транспорт, больше всего голосов набрали: возможность проезда по городским билетам («Тройка», «Единый», ТАТ, «90 минут») – 27,3% голосов, возможность льготного проезда для пенсионеров, студентов и школьников - 20,2% и единые стандарты к профессиональному поведению водителей и контролёров - 14,8%. </w:t>
      </w:r>
    </w:p>
    <w:p>
      <w:pPr>
        <w:pStyle w:val="BodyText"/>
      </w:pPr>
      <w:r>
        <w:t xml:space="preserve">На сегодняшний день частные маршрутки перевозят около 20% всего пассажиропотока наземного транспорта.</w:t>
      </w:r>
    </w:p>
    <w:p>
      <w:pPr>
        <w:pStyle w:val="BodyText"/>
      </w:pPr>
      <w:r>
        <w:t xml:space="preserve"> По сравнению с городским наземным транспортом у частных перевозчиков дороже билеты, отсутствуют льготы социально незащищённым слоям населения, часто используется устаревший подвижной состав.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http://nekrasovka.mos.ru/presscenter/news/detail/1335604.html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335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335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2023-08-01T16:38:54Z</dcterms:created>
  <dcterms:modified xsi:type="dcterms:W3CDTF">2023-08-01T16:38:54Z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