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dd5ec5ef5447c6a5de244676a3bf973512b64a"/>
    <w:p>
      <w:pPr>
        <w:pStyle w:val="Heading3"/>
      </w:pPr>
      <w:r>
        <w:t xml:space="preserve">Москвичи смогут проголосовать за цвет трибун "Лужники"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С 6 по 18 августа москвичи смогут проголосовать за цвет трибун «Лужников»</w:t>
      </w:r>
    </w:p>
    <w:p>
      <w:pPr>
        <w:pStyle w:val="BodyText"/>
      </w:pPr>
      <w:r>
        <w:t xml:space="preserve">В рамках проекта «Активный Гражданин» Правительства Москвы стартует электронный референдум, в ходе которого москвичи смогут выбрать, какого цвета будут трибуны главного стадиона страны. В качестве вариантов предлагаются бордовый (цвет стен Кремля и формы российской сборной), золотой (цвет главных медалей чемпионата) и графитовый.</w:t>
      </w:r>
    </w:p>
    <w:p>
      <w:pPr>
        <w:pStyle w:val="BodyText"/>
      </w:pPr>
      <w:r>
        <w:t xml:space="preserve">Запустить опрос о цвете трибун «Лужников» предложил мэр Москвы Сергей Собянин в ходе инспектирования работ по реконструкции спорткомплекса 25 июля.</w:t>
      </w:r>
    </w:p>
    <w:p>
      <w:pPr>
        <w:pStyle w:val="BodyText"/>
      </w:pPr>
      <w:r>
        <w:t xml:space="preserve">Масштабная реновация Большой спортивной арены началась в 2013 году. Стадион станет центральной площадкой чемпионата мира по футболу 2018 года – на нем состоятся церемония открытия и финальный матч. Столичные власти приняли решение сохранить исторический облик «Лужников». В местах оконных проёмов будут размещены металлические панно с изображением ярких событий из истории стадиона.</w:t>
      </w:r>
    </w:p>
    <w:p>
      <w:pPr>
        <w:pStyle w:val="BodyText"/>
      </w:pPr>
      <w:r>
        <w:t xml:space="preserve">Согласно требованиям ФИФА, количество мест на стадионе будет увеличено до 81 тыс. Одна из основных задач реконструкции – создание комфортных условий для болельщиков. До начала работ 10% зрительских мест на арене находились в зоне плохого обзора. В ходе реконструкции эта проблема будет решена.</w:t>
      </w:r>
    </w:p>
    <w:p>
      <w:pPr>
        <w:pStyle w:val="BodyText"/>
      </w:pPr>
      <w:r>
        <w:t xml:space="preserve">Работы планируется завершить в мае 2017 года, после чего на арене пройдут тестовые соревнования.</w:t>
      </w:r>
    </w:p>
    <w:p>
      <w:pPr>
        <w:pStyle w:val="BodyText"/>
      </w:pPr>
      <w:r>
        <w:t xml:space="preserve">Опрос продлится до 18 августа. Принять участие в голосовании можно с помощью мобильного приложения или на сайте проекта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.</w:t>
      </w:r>
    </w:p>
    <w:p>
      <w:pPr>
        <w:pStyle w:val="BodyText"/>
      </w:pPr>
      <w:r>
        <w:t xml:space="preserve">С момента запуска постоянными пользователями проекта «Активный гражданин» стали свыше 270 тыс. москвичей.</w:t>
      </w:r>
    </w:p>
    <w:p>
      <w:pPr>
        <w:pStyle w:val="BodyText"/>
      </w:pPr>
      <w:r>
        <w:drawing>
          <wp:inline>
            <wp:extent cx="5334000" cy="376783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ekrasovka.mos.ru/www/about/bordovyi_smal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376783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nekrasovka.mos.ru/www/about/grafitovyi_small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376783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nekrasovka.mos.ru/www/about/zolotoy_small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http://nekrasovka.mos.ru/presscenter/news/detail/1192679.html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20" Target="http://ag.mos.ru/" TargetMode="External" /><Relationship Type="http://schemas.openxmlformats.org/officeDocument/2006/relationships/hyperlink" Id="rId31" Target="http://nekrasovka.mos.ru" TargetMode="External" /><Relationship Type="http://schemas.openxmlformats.org/officeDocument/2006/relationships/hyperlink" Id="rId30" Target="http://nekrasovka.mos.ru/presscenter/news/detail/1192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31" Target="http://nekrasovka.mos.ru" TargetMode="External" /><Relationship Type="http://schemas.openxmlformats.org/officeDocument/2006/relationships/hyperlink" Id="rId30" Target="http://nekrasovka.mos.ru/presscenter/news/detail/1192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2024-07-30T07:22:16Z</dcterms:created>
  <dcterms:modified xsi:type="dcterms:W3CDTF">2024-07-30T07:22:16Z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