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4377fbb4829aa542f8abab81905162b67b59f"/>
    <w:p>
      <w:pPr>
        <w:pStyle w:val="Heading3"/>
      </w:pPr>
      <w:r>
        <w:t xml:space="preserve">Льгота по транспортному налогу в отношении электромобилей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t xml:space="preserve">В соответствии с Законом г. Москвы от 09.07.2008 № 33 «О транспортном налоге» с 01.01.2020 физические лица, проживающие на территории г. Москвы, на которых зарегистрированы транспортные средства, оснащенные исключительно электрическими двигателями, освобождены от уплаты транспортного налога.</w:t>
      </w:r>
    </w:p>
    <w:p>
      <w:pPr>
        <w:pStyle w:val="BodyText"/>
      </w:pPr>
      <w:r>
        <w:t xml:space="preserve">При наличии у налогоплательщика права на получение льгот по нескольким основаниям льгота предоставляется по одному основанию по выбору налогоплательщика.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http://nekrasovka.mos.ru/information-on-taxes-and-taxation/tax/news/detail/9796788.html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796788.html" TargetMode="External" /><Relationship Type="http://schemas.openxmlformats.org/officeDocument/2006/relationships/hyperlink" Id="rId2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796788.html" TargetMode="External" /><Relationship Type="http://schemas.openxmlformats.org/officeDocument/2006/relationships/hyperlink" Id="rId2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2025-03-07T17:07:16Z</dcterms:created>
  <dcterms:modified xsi:type="dcterms:W3CDTF">2025-03-07T17:07:16Z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