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cbbc97b85ed9d5d1d45d39c13b6dac033c6e6"/>
    <w:p>
      <w:pPr>
        <w:pStyle w:val="Heading3"/>
      </w:pPr>
      <w:r>
        <w:t xml:space="preserve">Памятка об изменениях казначейского счета г. Москвы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Обращаем внимание, что для достоверного ведения учета в налоговых органах</w:t>
      </w:r>
      <w:r>
        <w:t xml:space="preserve"> </w:t>
      </w:r>
      <w:r>
        <w:rPr>
          <w:bCs/>
          <w:b/>
        </w:rPr>
        <w:t xml:space="preserve">важно,</w:t>
      </w:r>
      <w:r>
        <w:t xml:space="preserve"> </w:t>
      </w:r>
      <w:r>
        <w:t xml:space="preserve">чтобы расчетный документ был заполнен плательщиком правильно.</w:t>
      </w:r>
    </w:p>
    <w:p>
      <w:pPr>
        <w:pStyle w:val="BodyText"/>
      </w:pPr>
      <w:r>
        <w:t xml:space="preserve">С 01.01.2021г. вступают в силу изменения в реквизитах казначейских счетов Федерального казначейства и реквизитов счетов, входящих в состав единого казначейского счета, в том числе включающую в себя информацию о наименованиях подразделений Банка России.</w:t>
      </w:r>
    </w:p>
    <w:p>
      <w:pPr>
        <w:pStyle w:val="BodyText"/>
      </w:pPr>
      <w:r>
        <w:t xml:space="preserve">Казначейский счет указывается в платежных поручениях в реквизите №15 и является обязательным реквизитом.</w:t>
      </w:r>
    </w:p>
    <w:p>
      <w:pPr>
        <w:pStyle w:val="BodyText"/>
      </w:pPr>
      <w:r>
        <w:rPr>
          <w:bCs/>
          <w:b/>
        </w:rPr>
        <w:t xml:space="preserve">Актуальный казначейский счет г. Москвы с 01.01.2021г. – 40102810545370000003.</w:t>
      </w:r>
    </w:p>
    <w:p>
      <w:pPr>
        <w:pStyle w:val="BodyText"/>
      </w:pPr>
      <w:r>
        <w:drawing>
          <wp:inline>
            <wp:extent cx="5334000" cy="58740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kaznachestv2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74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http://nekrasovka.mos.ru/information-on-taxes-and-taxation/tax/news/detail/9731369.html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9731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9731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2024-04-16T23:28:11Z</dcterms:created>
  <dcterms:modified xsi:type="dcterms:W3CDTF">2024-04-16T23:28:11Z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