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ea997643a455a6639267879873ada7688b5f7"/>
    <w:p>
      <w:pPr>
        <w:pStyle w:val="Heading3"/>
      </w:pPr>
      <w:r>
        <w:t xml:space="preserve">С 2021 года отменена обязанность организаций по представлению в налоговые органы деклараций по транспортному и земельному налогам за 2020 год и последующие периоды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t xml:space="preserve">С 2021 года отменена обязанность организаций по представлению в налоговые органы деклараций по транспортному и земельному налогам за 2020 год и последующие периоды. Одновременно вводится порядок направления организациям и их обособленным подразделениям сообщений об исчисленных суммах указанных налогов.</w:t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 (КНД 1150064).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2020 год организации целесообразно представить в течение I квартала 2021 года.</w:t>
      </w:r>
    </w:p>
    <w:p>
      <w:pPr>
        <w:pStyle w:val="BodyText"/>
      </w:pPr>
      <w:r>
        <w:t xml:space="preserve">Сообщение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направляет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http://nekrasovka.mos.ru/information-on-taxes-and-taxation/tax/news/detail/9682207.html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9682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9682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2025-03-09T17:07:25Z</dcterms:created>
  <dcterms:modified xsi:type="dcterms:W3CDTF">2025-03-09T17:07:25Z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