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93a17eeaa4b2b761bf97c19e534c3a1748db6"/>
    <w:p>
      <w:pPr>
        <w:pStyle w:val="Heading3"/>
      </w:pPr>
      <w:r>
        <w:t xml:space="preserve">Как узнать, какие льготы в г. Москве положены при уплате имущественных налогов физических лиц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5334000" cy="78590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lgoty_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9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http://nekrasovka.mos.ru/information-on-taxes-and-taxation/tax/news/detail/9682201.html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68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68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2024-10-23T09:28:13Z</dcterms:created>
  <dcterms:modified xsi:type="dcterms:W3CDTF">2024-10-23T09:28:13Z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