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орядок-заполнения-платежного-поручения"/>
    <w:p>
      <w:pPr>
        <w:pStyle w:val="Heading3"/>
      </w:pPr>
      <w:r>
        <w:t xml:space="preserve">Порядок заполнения платежного поручения</w:t>
      </w:r>
    </w:p>
    <w:p>
      <w:pPr>
        <w:pStyle w:val="FirstParagraph"/>
      </w:pPr>
      <w:r>
        <w:t xml:space="preserve">17.10.2019</w:t>
      </w:r>
    </w:p>
    <w:p>
      <w:pPr>
        <w:pStyle w:val="BodyText"/>
      </w:pPr>
      <w:r>
        <w:drawing>
          <wp:inline>
            <wp:extent cx="2993456" cy="42158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123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456" cy="42158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360244" cy="617941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234567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244" cy="61794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292867" cy="615054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3норисм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867" cy="61505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http://nekrasovka.mos.ru/information-on-taxes-and-taxation/tax/news/detail/8425507.html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information-on-taxes-and-taxation/tax/news/detail/8425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information-on-taxes-and-taxation/tax/news/detail/8425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2025-03-07T17:20:36Z</dcterms:created>
  <dcterms:modified xsi:type="dcterms:W3CDTF">2025-03-07T17:20:36Z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