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96713fd3020361b0e13a583d1f68aa75951f6"/>
    <w:p>
      <w:pPr>
        <w:pStyle w:val="Heading3"/>
      </w:pPr>
      <w:r>
        <w:t xml:space="preserve">УФНС России по г, Москве напоминает, что срок уплаты налога на имущество физических лиц, транспортного и земельного налогов истекает 2 декабря 2019 года.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автомобиля,, вам необходимо в этом году уплатить налог на имущество физических яиц, транспортный и земельный налоги не позднее 2 декабря.</w:t>
      </w:r>
    </w:p>
    <w:p>
      <w:pPr>
        <w:pStyle w:val="BodyText"/>
      </w:pPr>
      <w:r>
        <w:t xml:space="preserve">                                           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4e00116e8ddfb942dbcfbbc7782f1d700d450d62_1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Рассылка налоговых уведомлений на бумажном носителе не осуществляется гражданам, подключенным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 Если вы по каким-либо причинам не получили налоговое уведомление, вы можете обратиться за его получением в любую налоговую инспекцию или в многофункциональный центр предоставления государственных услуг г. Москвы. Дополнительную информацию вы можете узнать на сайте www.nalog.ru.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http://nekrasovka.mos.ru/information-on-taxes-and-taxation/tax/news/detail/8415241.html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2025-08-02T21:05:24Z</dcterms:created>
  <dcterms:modified xsi:type="dcterms:W3CDTF">2025-08-02T21:05:24Z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