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6475088911f813df1d8af1a4751cef0a5b6857"/>
    <w:p>
      <w:pPr>
        <w:pStyle w:val="Heading3"/>
      </w:pPr>
      <w:r>
        <w:t xml:space="preserve">Как получить имущественный налоговый вычет в связи с расходами на новое строительство либо приобретение недвижимого имущества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56654086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56654086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56654086-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ekrasovka.mos.ru/www/56654086-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http://nekrasovka.mos.ru/information-on-taxes-and-taxation/tax/news/detail/12884371.html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nekrasovka.mos.ru" TargetMode="External" /><Relationship Type="http://schemas.openxmlformats.org/officeDocument/2006/relationships/hyperlink" Id="rId32" Target="http://nekrasovka.mos.ru/information-on-taxes-and-taxation/tax/news/detail/12884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nekrasovka.mos.ru" TargetMode="External" /><Relationship Type="http://schemas.openxmlformats.org/officeDocument/2006/relationships/hyperlink" Id="rId32" Target="http://nekrasovka.mos.ru/information-on-taxes-and-taxation/tax/news/detail/12884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2025-04-03T13:56:59Z</dcterms:created>
  <dcterms:modified xsi:type="dcterms:W3CDTF">2025-04-03T13:56:59Z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