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385de57def2a196724f91f696d81158dfd4adeb"/>
    <w:p>
      <w:pPr>
        <w:pStyle w:val="Heading3"/>
      </w:pPr>
      <w:r>
        <w:t xml:space="preserve">Беззаявительный порядок представления льгот по имущественным налогам физ. лицам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Законе г. Москвы от 09.07.2008 № 33 «О транспортном налоге»</w:t>
      </w:r>
      <w:r>
        <w:t xml:space="preserve"> </w:t>
      </w:r>
      <w:r>
        <w:rPr>
          <w:bCs/>
          <w:b/>
        </w:rPr>
        <w:t xml:space="preserve">( в том числе ветераны боевых действий, инвалиды боевых действий и инвалиды I и II групп</w:t>
      </w:r>
      <w:r>
        <w:t xml:space="preserve">) 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налогу, налоговых льгот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http://nekrasovka.mos.ru/information-on-taxes-and-taxation/tax/news/detail/12815449.html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nekrasovka.mos.ru" TargetMode="External" /><Relationship Type="http://schemas.openxmlformats.org/officeDocument/2006/relationships/hyperlink" Id="rId31" Target="http://nekrasovka.mos.ru/information-on-taxes-and-taxation/tax/news/detail/12815449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nekrasovka.mos.ru" TargetMode="External" /><Relationship Type="http://schemas.openxmlformats.org/officeDocument/2006/relationships/hyperlink" Id="rId31" Target="http://nekrasovka.mos.ru/information-on-taxes-and-taxation/tax/news/detail/12815449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2025-03-07T15:46:12Z</dcterms:created>
  <dcterms:modified xsi:type="dcterms:W3CDTF">2025-03-07T15:46:12Z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