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сли-налоговое-уведомление-не-получено"/>
    <w:p>
      <w:pPr>
        <w:pStyle w:val="Heading3"/>
      </w:pPr>
      <w:r>
        <w:t xml:space="preserve">Если налоговое уведомление не получено?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органами, размещаются в личном кабинете налогоплательщика, личном кабинете на едином портале государственных и муниципальных услуг (далее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уведомления, по общему правилу, не направляются по почте заказными письмами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</w:p>
    <w:p>
      <w:pPr>
        <w:pStyle w:val="BodyText"/>
      </w:pPr>
      <w:r>
        <w:t xml:space="preserve"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ЕПГУ.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обязаны сообщить о наличии у них данных объектов в любой налоговый орган. Форма сообщения утверждена приказом ФНС России от 23.12.2022 № ЕД-7-21/1250@.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http://nekrasovka.mos.ru/information-on-taxes-and-taxation/tax/news/detail/12641699.html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641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641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2025-03-07T15:41:30Z</dcterms:created>
  <dcterms:modified xsi:type="dcterms:W3CDTF">2025-03-07T15:41:30Z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