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dee4e2da6f59d1f0e78df028a0b910f382ce0"/>
    <w:p>
      <w:pPr>
        <w:pStyle w:val="Heading3"/>
      </w:pPr>
      <w:r>
        <w:t xml:space="preserve">Если в налоговом уведомлении некорректная информация</w:t>
      </w:r>
    </w:p>
    <w:p>
      <w:pPr>
        <w:pStyle w:val="FirstParagraph"/>
      </w:pPr>
      <w:r>
        <w:t xml:space="preserve">02.11.2024</w:t>
      </w:r>
    </w:p>
    <w:p>
      <w:pPr>
        <w:pStyle w:val="BodyText"/>
      </w:pP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 Росреестра, МВД России, МЧС России, Росавиации, Росморречфлота, органы гостехнадзора и т.п.</w:t>
      </w:r>
    </w:p>
    <w:p>
      <w:pPr>
        <w:pStyle w:val="BodyText"/>
      </w:pPr>
      <w:r>
        <w:t xml:space="preserve">Ответственность за достоверность, полноту и актуальность сведений, используемых в целях налогообложения имущества, несут вышеперечисленные регистрирующие органы.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некорректная информация об объекте имущества или его владельце,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личного кабинета - через «Личный кабинет налогоплательщика для физических лиц» на сайте ФНС России</w:t>
      </w:r>
    </w:p>
    <w:p>
      <w:pPr>
        <w:pStyle w:val="BodyText"/>
      </w:pPr>
      <w:r>
        <w:t xml:space="preserve">2) для иных лиц - лично либо по почте в любой налоговый орган или с использованием интернет-сервиса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оснований для перерасчета налогов и изменения налогового уведомления, обработка полученных сведений и внесение необходимых изменений в информационные ресурсы, базы данных, карточки расчетов с бюджетом и т.п.</w:t>
      </w:r>
    </w:p>
    <w:p>
      <w:pPr>
        <w:pStyle w:val="BodyText"/>
      </w:pPr>
      <w:r>
        <w:t xml:space="preserve">При наличии оснований для перерасчета налога и формирования нового налогового уведомления налоговый орган не позднее 30 дней, в исключительных случаях указанный срок может быть продлен не более чем на 30 дней,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налогоплательщика, разместит его в личном кабинете налогоплательщика.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http://nekrasovka.mos.ru/information-on-taxes-and-taxation/tax/news/detail/12641688.html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641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641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2025-03-07T16:11:34Z</dcterms:created>
  <dcterms:modified xsi:type="dcterms:W3CDTF">2025-03-07T16:11:34Z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