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5cd6d36346a19aa46417d6bf5863cdecf087"/>
    <w:p>
      <w:pPr>
        <w:pStyle w:val="Heading3"/>
      </w:pPr>
      <w:r>
        <w:t xml:space="preserve">Основные изменения в налогообложении имущества физ. лиц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Налоговые уведомления, направленные в 2024 году, содержат расчет налогов имущественных налогов физических лиц за налоговый период 2023 года. При этом, по сравнению с предыдущим налоговым периодом произошли следующие основные изменения.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- при расчете налога применен Перечень легковых автомобилей средней стоимостью от 10 млн руб. за 2023 год, размещенный на официальном сайте Минпромторга России. 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том числе в результате проведения в 2022 году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>
      <w:pPr>
        <w:pStyle w:val="BodyText"/>
      </w:pPr>
      <w: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Росреестра.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</w:t>
      </w:r>
    </w:p>
    <w:p>
      <w:pPr>
        <w:pStyle w:val="BodyText"/>
      </w:pPr>
      <w:r>
        <w:t xml:space="preserve">• 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п.7 ст. 378.2 НК РФ, а также объектов, предусмотренных абз. 2 п. 10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п.7 ст. 378.2 НК РФ, а также объектов, предусмотренных п.7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(в 2023 году был 0.4) – для г. Севастополя, где кадастровая стоимость применяется в качестве налоговой базы третий год;</w:t>
      </w:r>
    </w:p>
    <w:p>
      <w:pPr>
        <w:pStyle w:val="BodyText"/>
      </w:pPr>
      <w:r>
        <w:t xml:space="preserve"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</w:t>
      </w:r>
    </w:p>
    <w:p>
      <w:pPr>
        <w:pStyle w:val="BodyText"/>
      </w:pPr>
      <w:r>
        <w:t xml:space="preserve"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в контакт-центре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http://nekrasovka.mos.ru/information-on-taxes-and-taxation/tax/news/detail/12600156.html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00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00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2025-03-07T15:38:50Z</dcterms:created>
  <dcterms:modified xsi:type="dcterms:W3CDTF">2025-03-07T15:38:50Z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