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f875e256eb0f879400ef2c23c743577aff021"/>
    <w:p>
      <w:pPr>
        <w:pStyle w:val="Heading3"/>
      </w:pPr>
      <w:r>
        <w:t xml:space="preserve">В ИФНС России Nº 23 по г. Москве 19 сентября пройдет вебинар для налогоплательщиков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t xml:space="preserve">19 сентября 2024 года ИФНС России Nº 23 по г. Москве будет проведен вебинар по теме: Порядок работы с отрицательным сальдо ЕНС в 16:00 ч.</w:t>
      </w:r>
    </w:p>
    <w:p>
      <w:pPr>
        <w:pStyle w:val="BodyText"/>
      </w:pPr>
      <w:r>
        <w:t xml:space="preserve"> Регистрация на вебинар по ссылке:https://vksnp4.nalog.ru/conference/7723-informirovanie-o-zadolzhennosti-s-pomos-hyu-s/enter?token=eee9b342-3a59-4a7b-b939-f268111c50db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http://nekrasovka.mos.ru/information-on-taxes-and-taxation/tax/news/detail/12546558.html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546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546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2025-03-07T15:51:19Z</dcterms:created>
  <dcterms:modified xsi:type="dcterms:W3CDTF">2025-03-07T15:51:19Z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