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9f7db9f4542bc2998d871d57c13feae47a028"/>
    <w:p>
      <w:pPr>
        <w:pStyle w:val="Heading3"/>
      </w:pPr>
      <w:r>
        <w:t xml:space="preserve">В ИФНС России Nº 23 по г. Москве пройдет вебинар для налогоплательщиков</w:t>
      </w:r>
    </w:p>
    <w:p>
      <w:pPr>
        <w:pStyle w:val="FirstParagraph"/>
      </w:pPr>
      <w:r>
        <w:t xml:space="preserve">02.09.2024</w:t>
      </w:r>
    </w:p>
    <w:p>
      <w:pPr>
        <w:pStyle w:val="BodyText"/>
      </w:pPr>
      <w:r>
        <w:t xml:space="preserve">06 сентября 2024 года ИФНС России Nº 23 по г. Москве будет проведен вебинар по теме: Порядок работы с отрицательным сальдо ЕНС в 12:00 ч. Регистрация на вебинар по ссылке: https://vksnp4.nalog.ru/conference/7723-informacionnaya_kampaniya-po-rassylke-nalogov/enter?token=c4488a89-8b99-4a3d-ba11-3dfb53fcd223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http://nekrasovka.mos.ru/information-on-taxes-and-taxation/tax/news/detail/12546541.html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25465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25465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2025-03-07T16:37:47Z</dcterms:created>
  <dcterms:modified xsi:type="dcterms:W3CDTF">2025-03-07T16:37:47Z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