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6e5d76e4dc9ae30853550c8d64a45dce6b580"/>
    <w:p>
      <w:pPr>
        <w:pStyle w:val="Heading3"/>
      </w:pPr>
      <w:r>
        <w:t xml:space="preserve">Вопросы, заданные слушателями в процессе проведённого инспекцией ФНС России № 23 по г. Москве вебинара на тему «Декларационная кампания 2024. Электронные сервисы» и ответы на них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drawing>
          <wp:inline>
            <wp:extent cx="5334000" cy="44566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07-05-2024%200950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5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http://nekrasovka.mos.ru/information-on-taxes-and-taxation/tax/news/detail/12358108.html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358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358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2025-03-07T16:34:48Z</dcterms:created>
  <dcterms:modified xsi:type="dcterms:W3CDTF">2025-03-07T16:34:48Z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