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8051dc1ad390fbc61c5bdb5fd8eb6695617b0"/>
    <w:p>
      <w:pPr>
        <w:pStyle w:val="Heading3"/>
      </w:pPr>
      <w:r>
        <w:t xml:space="preserve">Заявительный порядок предоставления налоговых льгот по имущественным налогам юридических лиц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Организациям, которые имеют право на льготы по имущественным налогам (транспортный налог, земельный налог, налог на имущество), необходимо направить в налоговый орган заявление налогоплательщика-организации о предоставлении налоговой льготы. Форма заявления о предоставлении налоговой льготы утверждены формами КНД 1150064 (транспортный и (или) земельный налог) и КНД 1150121 (налог на имущество).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заявлениями налогоплательщики вправе подать документы, подтверждающие право на данную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Для корректного расчета налога заявление о представлении налоговой льготы за 2023 год организации целесообразно представить не позднее I квартала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http://nekrasovka.mos.ru/information-on-taxes-and-taxation/tax/news/detail/12128611.html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128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128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2025-03-07T16:36:49Z</dcterms:created>
  <dcterms:modified xsi:type="dcterms:W3CDTF">2025-03-07T16:36:49Z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