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92142b25b705b13df95f9d76564b8ae423167"/>
    <w:p>
      <w:pPr>
        <w:pStyle w:val="Heading3"/>
      </w:pPr>
      <w:r>
        <w:t xml:space="preserve">Что делать, если в налоговом уведомлении информация некорректная?</w:t>
      </w:r>
    </w:p>
    <w:p>
      <w:pPr>
        <w:pStyle w:val="FirstParagraph"/>
      </w:pPr>
      <w:r>
        <w:t xml:space="preserve">03.11.2023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МВД России, осуществляющие регистрацию (миграционный учет) физических лиц по месту жительства (месту пребывания), органы ЗАГС, органы Росреестра, осуществляющие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r>
        <w:t xml:space="preserve"> </w:t>
      </w:r>
      <w:r>
        <w:t xml:space="preserve">МВД России, МЧС России, Росавиации, Росморречфлота, органы гостехнадзора,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 МВД России, осуществляющие выдачу и замену документов, удостоверяющих личность гражданина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t xml:space="preserve">Информации предоставлена ИФНС России № 21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http://nekrasovka.mos.ru/information-on-taxes-and-taxation/tax/news/detail/11958846.html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958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958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2025-03-09T16:52:34Z</dcterms:created>
  <dcterms:modified xsi:type="dcterms:W3CDTF">2025-03-09T16:52:34Z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