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 законный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</w:p>
    <w:p>
      <w:pPr>
        <w:pStyle w:val="BodyText"/>
      </w:pP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t xml:space="preserve">Детальная информация доступна по ссылке:</w:t>
      </w:r>
      <w:r>
        <w:t xml:space="preserve"> </w:t>
      </w:r>
      <w:hyperlink r:id="rId21">
        <w:r>
          <w:rPr>
            <w:rStyle w:val="Hyperlink"/>
          </w:rPr>
          <w:t xml:space="preserve">https://www.nalog.gov.ru/rn77/nu2023/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http://nekrasovka.mos.ru/information-on-taxes-and-taxation/tax/news/detail/11882664.html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1882664.html" TargetMode="External" /><Relationship Type="http://schemas.openxmlformats.org/officeDocument/2006/relationships/hyperlink" Id="rId21" Target="https://www.nalog.gov.ru/rn77/nu20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1882664.html" TargetMode="External" /><Relationship Type="http://schemas.openxmlformats.org/officeDocument/2006/relationships/hyperlink" Id="rId21" Target="https://www.nalog.gov.ru/rn77/nu20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2025-03-07T16:16:08Z</dcterms:created>
  <dcterms:modified xsi:type="dcterms:W3CDTF">2025-03-07T16:16:08Z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