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1d149b74bbe77729efb31f0f0272bdd20067e"/>
    <w:p>
      <w:pPr>
        <w:pStyle w:val="Heading3"/>
      </w:pPr>
      <w:r>
        <w:t xml:space="preserve">О возможности получения налоговых уведомлений через личный кабинет на ЕПГУ.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t xml:space="preserve">С 01.07.2023 на основании абзаца 2 пункта 1, пункта 3 статьи 1 Федерального закона от 14.04.2023 № 125-ФЗ «О внесении изменений в часть первую Налогового кодекса Российской Федерации»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Существуют условия, при которых налогоплателыцики-физические лица смогут получать указанные налоговые уведомления через ЕПГУ.</w:t>
      </w:r>
    </w:p>
    <w:p>
      <w:pPr>
        <w:pStyle w:val="BodyText"/>
      </w:pPr>
      <w:r>
        <w:t xml:space="preserve">Так, налогоплательщик должен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http://nekrasovka.mos.ru/information-on-taxes-and-taxation/tax/news/detail/11780273.html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780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780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2025-03-07T16:38:49Z</dcterms:created>
  <dcterms:modified xsi:type="dcterms:W3CDTF">2025-03-07T16:38:49Z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