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bed49d74f409f139c59f76d1b8b282e6531b0"/>
    <w:p>
      <w:pPr>
        <w:pStyle w:val="Heading3"/>
      </w:pPr>
      <w:r>
        <w:t xml:space="preserve">О налоговых льготах при налогообложении имущества физических лиц и организаций за налоговый период 2022 года</w:t>
      </w:r>
    </w:p>
    <w:p>
      <w:pPr>
        <w:pStyle w:val="FirstParagraph"/>
      </w:pPr>
      <w:r>
        <w:t xml:space="preserve">09.02.2023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http://nekrasovka.mos.ru/information-on-taxes-and-taxation/tax/news/detail/11400119.html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400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400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2025-03-07T16:35:01Z</dcterms:created>
  <dcterms:modified xsi:type="dcterms:W3CDTF">2025-03-07T16:35:01Z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