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3aae9f029833f68be55da7b8fb6110a21830f"/>
    <w:p>
      <w:pPr>
        <w:pStyle w:val="Heading3"/>
      </w:pPr>
      <w:r>
        <w:t xml:space="preserve">Инспекция ФНС России № 23 по г. Москве сообщает о рекомендованных образцах заполнения платежных документов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t xml:space="preserve">В связи с вступлением в силу Федерального закона от 14.07.2022 № 263-ФЗ «О внесении изменений в части первую и вторую Налогового кодекса Российской Федерации» ФНС России предоставляет рекомендованные образцы заполнения платежных документов, а также перечень налогов, уплачиваемых с использованием единого налогового платежа и перечень неналоговых доходов, уплачиваемых на конкретный код бюджетной классификации:</w:t>
      </w:r>
    </w:p>
    <w:p>
      <w:pPr>
        <w:pStyle w:val="BodyText"/>
      </w:pPr>
      <w:r>
        <w:t xml:space="preserve">- при перечислении платежей, обязанность по уплате которых установлена Налоговым кодексом Российской Федерации (единый налоговый платеж).</w:t>
      </w:r>
    </w:p>
    <w:p>
      <w:pPr>
        <w:pStyle w:val="BodyText"/>
      </w:pPr>
      <w:r>
        <w:t xml:space="preserve">- при перечислении иных платежей, администрируемых налоговыми органами (за исключением единого налогового платежа).</w:t>
      </w:r>
    </w:p>
    <w:p>
      <w:pPr>
        <w:pStyle w:val="BodyText"/>
      </w:pPr>
      <w:r>
        <w:t xml:space="preserve">- при перечислении платежей, обязанность по уплате которых установлена Налоговым кодексом Российской Федерации (за исключением единого налогового платежа), налогоплательщиками, формирующими в соответствии с Федеральным законом уведомление об исчисленных суммах налогов, сборов, авансовых платежей по налогам, страховым взносам в виде распоряжения на перевод денежных средств в уплату платежей в бюджетную систему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http://nekrasovka.mos.ru/information-on-taxes-and-taxation/tax/news/detail/11358080.html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8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8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2025-07-08T17:03:35Z</dcterms:created>
  <dcterms:modified xsi:type="dcterms:W3CDTF">2025-07-08T17:03:35Z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