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d11a922f99468e4a1b7a31094405dd7aa820"/>
    <w:p>
      <w:pPr>
        <w:pStyle w:val="Heading3"/>
      </w:pPr>
      <w:r>
        <w:t xml:space="preserve">Транспортный и земельный налог организаций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По состоянию за 31.12.2022 вся переплата, сложившаяся по транспортному и земельному налогу фиксируется на соответствующем налоге и в соответствующем бюджете. Т.е. принудительного переноса на единый налоговый платеж (далее – ЕНП) не будет.</w:t>
      </w:r>
    </w:p>
    <w:p>
      <w:pPr>
        <w:pStyle w:val="BodyText"/>
      </w:pPr>
      <w:r>
        <w:t xml:space="preserve">Указанная переплата остается в бюджете до момента отражения в ЕНС начислений, по указанным налогам в соответствии с расчетом, проведенным налоговым органом (ст. 363, 397 Налогового кодекса Российской Федерации).</w:t>
      </w:r>
    </w:p>
    <w:p>
      <w:pPr>
        <w:pStyle w:val="BodyText"/>
      </w:pPr>
      <w:r>
        <w:t xml:space="preserve">Начисленные налоговым органом суммы сравниваются с суммами авансов,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http://nekrasovka.mos.ru/information-on-taxes-and-taxation/tax/news/detail/11357957.html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2025-03-07T16:14:32Z</dcterms:created>
  <dcterms:modified xsi:type="dcterms:W3CDTF">2025-03-07T16:14:32Z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