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единый-налоговый-счет"/>
    <w:p>
      <w:pPr>
        <w:pStyle w:val="Heading3"/>
      </w:pPr>
      <w:r>
        <w:t xml:space="preserve">Единый налоговый счет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drawing>
          <wp:inline>
            <wp:extent cx="5334000" cy="7618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налоговый%20счет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18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447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Буклет_ЕНС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47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4476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Буклет_ЕНС%20(6)-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47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http://nekrasovka.mos.ru/information-on-taxes-and-taxation/tax/news/detail/11291387.html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png" /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information-on-taxes-and-taxation/tax/news/detail/11291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information-on-taxes-and-taxation/tax/news/detail/11291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2025-03-07T16:20:48Z</dcterms:created>
  <dcterms:modified xsi:type="dcterms:W3CDTF">2025-03-07T16:20:48Z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