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e13b9fceb62f7861d424f0ded3e9f7c4fe352"/>
    <w:p>
      <w:pPr>
        <w:pStyle w:val="Heading3"/>
      </w:pPr>
      <w:r>
        <w:t xml:space="preserve">Как воспользоваться льготой, неучтенной в налоговом уведомлении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НК РФ и законами субъектов Российской Федерации по месту нахождения транспортного средства;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http://nekrasovka.mos.ru/information-on-taxes-and-taxation/tax/news/detail/11102704.html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102704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102704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2024-04-24T05:30:03Z</dcterms:created>
  <dcterms:modified xsi:type="dcterms:W3CDTF">2024-04-24T05:30:03Z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