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6d34ba3ee358db113dffd7eed3679d768cd0c"/>
    <w:p>
      <w:pPr>
        <w:pStyle w:val="Heading3"/>
      </w:pPr>
      <w:r>
        <w:t xml:space="preserve">Что такое налоговое уведомление, как его исполнить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и НДФЛ (в отношении ряда доходов, по которым не удержан НДФЛ) возложена на налоговые органы (пункт 2 статьи 52 Налогового кодекса Российской Федерации, далее – НК РФ).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и включает сумму налога, подлежащую уплате, сведения об объектах налогообложения, налоговой базе, сроке уплаты налога, а также сведения, необходимые для перечисления налога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налогоплательщику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11.11.2019 № ММВ-7-21/560@)</w:t>
      </w:r>
    </w:p>
    <w:p>
      <w:pPr>
        <w:pStyle w:val="BodyText"/>
      </w:pPr>
      <w:r>
        <w:t xml:space="preserve">Налоговое уведомление за налоговый период 2021 года должно быть исполнено (налоги в нём оплачены) не позднее 1 декабря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http://nekrasovka.mos.ru/information-on-taxes-and-taxation/tax/news/detail/11102696.html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102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102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2024-04-27T03:23:20Z</dcterms:created>
  <dcterms:modified xsi:type="dcterms:W3CDTF">2024-04-27T03:23:20Z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