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af27698a6b9415e434bad717767bfbf9fd85b3"/>
    <w:p>
      <w:pPr>
        <w:pStyle w:val="Heading3"/>
      </w:pPr>
      <w:r>
        <w:t xml:space="preserve">График проведения вебинаров с налогоплательщиками на август 2022 г. ИФНС России №7722 по г. Москве</w:t>
      </w:r>
    </w:p>
    <w:p>
      <w:pPr>
        <w:pStyle w:val="FirstParagraph"/>
      </w:pPr>
      <w:r>
        <w:t xml:space="preserve">15.07.2022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Слайд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http://nekrasovka.mos.ru/information-on-taxes-and-taxation/tax/news/detail/10936306.html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936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936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2025-03-07T16:59:31Z</dcterms:created>
  <dcterms:modified xsi:type="dcterms:W3CDTF">2025-03-07T16:59:31Z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