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e9e8a2ce035a80cc12d2065caecf036cb0f58"/>
    <w:p>
      <w:pPr>
        <w:pStyle w:val="Heading3"/>
      </w:pPr>
      <w:r>
        <w:t xml:space="preserve">ИФНС №22 проводит вебинары для налогоплательщиков в мае 2022 года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лайд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http://nekrasovka.mos.ru/information-on-taxes-and-taxation/tax/news/detail/10807264.html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807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807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2025-03-07T16:32:45Z</dcterms:created>
  <dcterms:modified xsi:type="dcterms:W3CDTF">2025-03-07T16:32:45Z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