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e127a032100f5c06ab06c6a58409250c21883"/>
    <w:p>
      <w:pPr>
        <w:pStyle w:val="Heading3"/>
      </w:pPr>
      <w:r>
        <w:t xml:space="preserve">27 апреля ИФНС №22 проводит вебинар "Порядок заполнения платежных документов для перечисления налоговых платежей"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drawing>
          <wp:inline>
            <wp:extent cx="5334000" cy="73624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Вебинар_порядок_заполения_платежных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2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http://nekrasovka.mos.ru/information-on-taxes-and-taxation/tax/news/detail/10760081.html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760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760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2024-10-27T03:46:06Z</dcterms:created>
  <dcterms:modified xsi:type="dcterms:W3CDTF">2024-10-27T03:46:06Z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