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af86533340d228f3124328e4b1417f2ac6f65"/>
    <w:p>
      <w:pPr>
        <w:pStyle w:val="Heading3"/>
      </w:pPr>
      <w:r>
        <w:t xml:space="preserve">28 апреля ИФНС №22 проводит вебинар "Декларационная кампания 2022"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drawing>
          <wp:inline>
            <wp:extent cx="5334000" cy="73624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Вебинар_декларационная_кампания_202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62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http://nekrasovka.mos.ru/information-on-taxes-and-taxation/tax/news/detail/10760071.html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760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0760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2025-03-07T16:17:31Z</dcterms:created>
  <dcterms:modified xsi:type="dcterms:W3CDTF">2025-03-07T16:17:31Z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