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4805496173e20fb3234a4b422655b19f555e7"/>
    <w:p>
      <w:pPr>
        <w:pStyle w:val="Heading3"/>
      </w:pPr>
      <w:r>
        <w:t xml:space="preserve">Порядок предоставления льгот по налогу на имущество физических лиц индивидуальным предпринимателям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drawing>
          <wp:inline>
            <wp:extent cx="5334000" cy="51723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e48fd937-413f-4dbd-95ae-97f69c8d55d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72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http://nekrasovka.mos.ru/information-on-taxes-and-taxation/tax/news/detail/10733505.html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33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33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2025-03-09T16:32:22Z</dcterms:created>
  <dcterms:modified xsi:type="dcterms:W3CDTF">2025-03-09T16:32:22Z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