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что-делать-при-возгорании-квартиры"/>
    <w:p>
      <w:pPr>
        <w:pStyle w:val="Heading3"/>
      </w:pPr>
      <w:r>
        <w:t xml:space="preserve">Что делать при возгорании квартиры</w:t>
      </w:r>
    </w:p>
    <w:p>
      <w:pPr>
        <w:pStyle w:val="FirstParagraph"/>
      </w:pPr>
      <w:r>
        <w:t xml:space="preserve">13.03.2024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1Правила_поведения_при_пожаре_соцсети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ekrasovka.mos.ru/www/3Правила_поведения_при_пожаре_соцсети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ekrasovka.mos.ru/www/5Правила_поведения_при_пожаре_соцсети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http://nekrasovka.mos.ru/informaciya-dlya-roditeley/detail/12238173.html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nekrasovka.mos.ru" TargetMode="External" /><Relationship Type="http://schemas.openxmlformats.org/officeDocument/2006/relationships/hyperlink" Id="rId29" Target="http://nekrasovka.mos.ru/informaciya-dlya-roditeley/detail/122381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nekrasovka.mos.ru" TargetMode="External" /><Relationship Type="http://schemas.openxmlformats.org/officeDocument/2006/relationships/hyperlink" Id="rId29" Target="http://nekrasovka.mos.ru/informaciya-dlya-roditeley/detail/122381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2025-03-16T04:31:28Z</dcterms:created>
  <dcterms:modified xsi:type="dcterms:W3CDTF">2025-03-16T04:31:28Z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