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чистые-руки---твоя-защита"/>
    <w:p>
      <w:pPr>
        <w:pStyle w:val="Heading3"/>
      </w:pPr>
      <w:r>
        <w:t xml:space="preserve">Чистые руки - твоя защита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drawing>
          <wp:inline>
            <wp:extent cx="5334000" cy="37778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07-02-2025%200924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78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bitrix/admin/htmleditor2/video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http://nekrasovka.mos.ru/directions-of-activity/the-consumer-market/the-cps/detail/12797009.html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directions-of-activity/the-consumer-market/the-cps/detail/12797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ekrasovka.mos.ru" TargetMode="External" /><Relationship Type="http://schemas.openxmlformats.org/officeDocument/2006/relationships/hyperlink" Id="rId26" Target="http://nekrasovka.mos.ru/directions-of-activity/the-consumer-market/the-cps/detail/12797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2025-02-07T07:32:20Z</dcterms:created>
  <dcterms:modified xsi:type="dcterms:W3CDTF">2025-02-07T07:32:20Z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