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164e8c55165e82a04005d245bcf1b06b25f73"/>
    <w:p>
      <w:pPr>
        <w:pStyle w:val="Heading3"/>
      </w:pPr>
      <w:r>
        <w:t xml:space="preserve">Выбор обуви и ранца для ребенка к новому учебному году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t xml:space="preserve">Как выбрать обувь для ребенка в школу?</w:t>
      </w:r>
    </w:p>
    <w:p>
      <w:pPr>
        <w:pStyle w:val="BodyText"/>
      </w:pPr>
      <w:r>
        <w:t xml:space="preserve">Хорошая детская обувь, правильно подобранная по размеру и своему назначению — один из факторов правильной осанки ребенка, его комфорта и безопасного движения. Правильная, комфортная детская обувь не мешает нормальному развитию опорно-двигательного аппарата и не вредит здоровью стоп. А также снижает риск появления проблем с осанкой или травм при активном движении. Обувь должна соответствовать требованиям биологической и механической безопасности.</w:t>
      </w:r>
    </w:p>
    <w:p>
      <w:pPr>
        <w:pStyle w:val="BodyText"/>
      </w:pPr>
      <w:r>
        <w:t xml:space="preserve">Безопасность обуви и кожгалантерейных изделий оценивают устойчивостью окраски применяемых материалов к сухому и мокрому трению и воздействию пота, а также концентрацией выделяющихся вредных веществ и комплексом физико-механических свойств (масса, гибкость, прочность крепления деталей низа, деформация подноска и задника обуви и разрывная нагрузка узлов крепления ручек кожгалантерейных изделий).</w:t>
      </w:r>
    </w:p>
    <w:p>
      <w:pPr>
        <w:pStyle w:val="BodyText"/>
      </w:pPr>
      <w:r>
        <w:t xml:space="preserve">В обуви не допускается подкладка из искусственных и (или) синтетических материалов в закрытой обуви всех половозрастных групп. Соприкасающиеся с кожными покровами конструктивные элементы кожгалантерейных изделий не должны оказывать на организм местного кожно-раздражающего действия.</w:t>
      </w:r>
    </w:p>
    <w:p>
      <w:pPr>
        <w:pStyle w:val="BodyText"/>
      </w:pPr>
      <w:r>
        <w:t xml:space="preserve">При выборе школьной обуви также следует ориентироваться на следующее:</w:t>
      </w:r>
    </w:p>
    <w:p>
      <w:pPr>
        <w:pStyle w:val="BodyText"/>
      </w:pPr>
      <w:r>
        <w:t xml:space="preserve">• Высота каблука для школьников 8 — 12 лет не должна быть более 2 см. Для старшей группы школьников 13 — 17 лет высота каблука у мальчиков — до 3 см, у девочек — до 4 см.</w:t>
      </w:r>
    </w:p>
    <w:p>
      <w:pPr>
        <w:pStyle w:val="BodyText"/>
      </w:pPr>
      <w:r>
        <w:t xml:space="preserve">• Обувь должна иметь жесткий задник, надежно фиксирующий стопу (сандалии, у которых вместо задника ремешок, покупать детям младшего возраста нельзя). Идеальный вариант обуви и для мальчика, и для девочки — туфли или ботинки на шнуровке.</w:t>
      </w:r>
    </w:p>
    <w:p>
      <w:pPr>
        <w:pStyle w:val="BodyText"/>
      </w:pPr>
      <w:r>
        <w:t xml:space="preserve">• Кроссовки предназначены только для занятий спортом, носить их в течение длительного времени нельзя.</w:t>
      </w:r>
    </w:p>
    <w:p>
      <w:pPr>
        <w:pStyle w:val="BodyText"/>
      </w:pPr>
      <w:r>
        <w:t xml:space="preserve">• Ортопедическая обувь нужна только детям, которым ее назначил врач-ортопед. Остальным она не только не полезна, но может даже навредить.</w:t>
      </w:r>
    </w:p>
    <w:p>
      <w:pPr>
        <w:pStyle w:val="BodyText"/>
      </w:pPr>
      <w:r>
        <w:t xml:space="preserve">• Неправильный выбор обуви может стать причиной развития плоскостопия, нарушения походки, деформирования стоп и позвоночника, и, как следствие, заболевания внутренних органов.</w:t>
      </w:r>
    </w:p>
    <w:p>
      <w:pPr>
        <w:pStyle w:val="BodyText"/>
      </w:pPr>
      <w:r>
        <w:t xml:space="preserve">• Удобная школьная обувь производится из натуральных материалов, обладает не слишком жесткой подошвой.</w:t>
      </w:r>
    </w:p>
    <w:p>
      <w:pPr>
        <w:pStyle w:val="BodyText"/>
      </w:pPr>
      <w:r>
        <w:t xml:space="preserve">• Покупать туфли или ботинки следует только после примерки. Длина обуви обязательно должна быть на 10 мм больше длины стопы.</w:t>
      </w:r>
    </w:p>
    <w:p>
      <w:pPr>
        <w:pStyle w:val="BodyText"/>
      </w:pPr>
      <w:r>
        <w:t xml:space="preserve">Как выбрать ранец на новый учебный год?</w:t>
      </w:r>
    </w:p>
    <w:p>
      <w:pPr>
        <w:pStyle w:val="BodyText"/>
      </w:pPr>
      <w:r>
        <w:t xml:space="preserve">На современном этапе актуальной проблемой здоровья у детей стала проблема формирования и сохранения красивой фигуры и правильной осанки тела. Важным аспектом является выбор ранца или ученического портфеля, соответствующего требованиям. Так как школьный рюкзак — неотъемлемая часть образовательного процесса детей, то к его выбору нужно подходить основательно, учитывая возраст ребёнка и его потребности.</w:t>
      </w:r>
    </w:p>
    <w:p>
      <w:pPr>
        <w:pStyle w:val="BodyText"/>
      </w:pPr>
      <w:r>
        <w:t xml:space="preserve">Роспотребнадзор напоминает, при выборе школьных принадлежностей, необходимо учитывать размеры, вес, конструкцию, показатели санитарно-химической, токсикологической безопасностей материалов, из которых изготовлены ученические портфели и ранцы.</w:t>
      </w:r>
    </w:p>
    <w:p>
      <w:pPr>
        <w:pStyle w:val="BodyText"/>
      </w:pPr>
      <w:r>
        <w:t xml:space="preserve">Маркировка ученических ранцев и портфелей и рюкзаков должна содержать информацию о возрасте пользователя.</w:t>
      </w:r>
    </w:p>
    <w:p>
      <w:pPr>
        <w:pStyle w:val="BodyText"/>
      </w:pPr>
      <w:r>
        <w:t xml:space="preserve">Вес портфелей, школьных ранцев и аналогичных изделий без учебников должен быть для обучающихся начальных классов не более 700 грамм и для обучающихся средних и старших классов – не более 1000 грамм.</w:t>
      </w:r>
    </w:p>
    <w:p>
      <w:pPr>
        <w:pStyle w:val="BodyText"/>
      </w:pPr>
      <w:r>
        <w:t xml:space="preserve">Ученические ранцы для детей младшего школьного возраста должны быть снабжены формоустойчивой спинкой, обеспечивающей его полное прилегание к спине обучающегося и равномерное распределение веса.</w:t>
      </w:r>
    </w:p>
    <w:p>
      <w:pPr>
        <w:pStyle w:val="BodyText"/>
      </w:pPr>
      <w:r>
        <w:t xml:space="preserve">В качестве ориентировочного теста для проверки соответствия веса ранца с учебниками и тетрадями нормативным требованиям используется вычисление отношения веса ранца к весу ребенка. Оптимальное соотношение составляет 1:10. Такой подход учитывает и индивидуальные возможности ребенка.</w:t>
      </w:r>
    </w:p>
    <w:p>
      <w:pPr>
        <w:pStyle w:val="BodyText"/>
      </w:pPr>
      <w:r>
        <w:t xml:space="preserve">Кроме того, ученические портфели и ранцы должны иметь детали и (или) фурнитуру со светоотражающими элементами на передних, боковых поверхностях и верхнем клапане и изготовляться из материалов контрастных цветов. Именно светоотражающие элементы и яркая окраска ранцев делают детей заметнее на дороге. Материал для изготовления ранцев должен быть легким, прочным, с водоотталкивающим покрытием, удобным для чистки.</w:t>
      </w:r>
    </w:p>
    <w:p>
      <w:pPr>
        <w:pStyle w:val="BodyText"/>
      </w:pPr>
      <w:r>
        <w:t xml:space="preserve">Желаем успехов в выборе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http://nekrasovka.mos.ru/directions-of-activity/the-consumer-market/the-cps/detail/12519918.html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519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519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2025-02-22T13:03:41Z</dcterms:created>
  <dcterms:modified xsi:type="dcterms:W3CDTF">2025-02-22T13:03:41Z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